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2011/35 vom 13. Juni 2011</w:t>
      </w:r>
    </w:p>
    <w:p>
      <w:r>
        <w:t>Sg Versicherungsgericht, 2011-06-13, DE</w:t>
      </w:r>
    </w:p>
    <w:p>
      <w:r>
        <w:rPr>
          <w:b/>
        </w:rPr>
        <w:t xml:space="preserve">Quelle: </w:t>
      </w:r>
      <w:r>
        <w:t>https://mcp.opencaselaw.ch/entscheid/sg_publikationen_EL 2011_35</w:t>
      </w:r>
    </w:p>
    <w:p>
      <w:r>
        <w:t>FR: SG_VERSICHERUNGSGERICHT EL 2011/35 du 13 juin 2011</w:t>
      </w:r>
    </w:p>
    <w:p>
      <w:r>
        <w:t>IT: SG_VERSICHERUNGSGERICHT EL 2011/35 del 13 giugno 2011</w:t>
      </w:r>
    </w:p>
    <w:p>
      <w:pPr>
        <w:pStyle w:val="Heading2"/>
      </w:pPr>
      <w:r>
        <w:t>Regeste</w:t>
      </w:r>
    </w:p>
    <w:p>
      <w:r>
        <w:t>Art. 10 f. ELG. Berechnung des Anspruchs auf jährliche Ergänzungsleistung unter Berücksichtigung von Wohneigentum (Entscheid des Versicherungsgericht des Kantons St. Gallen vom 28. März 2012, EL 2011/35).Präsidentin Karin Huber-Studerus, Versicherungsrichterin Monika Gehrer-Hug,a.o. Versicherungsrichter Christian Zingg; Gerichtsschreiber Tobias BoltEntscheid vom 28. März 2012in SachenA.___,Beschwerdeführer,gegenSozialversicherungsanstalt des Kantons St. Gallen, Ausgleichskasse des Kantons St. Gallen, Brauerstrasse 54, Postfach, 9016 St. Gallen,Beschwerdegegnerin,betreffendErgänzungsleistung zur AHVSachverhalt:</w:t>
      </w:r>
    </w:p>
    <w:p>
      <w:pPr>
        <w:pStyle w:val="Heading2"/>
      </w:pPr>
      <w:r>
        <w:t>Erwägungen</w:t>
      </w:r>
    </w:p>
    <w:p>
      <w:r>
        <w:rPr>
          <w:b/>
        </w:rPr>
        <w:t>E. 1</w:t>
      </w:r>
    </w:p>
    <w:p>
      <w:r>
        <w:t>Das Bundesgesetz über Ergänzungsleistungen zur Alters-, Hinterlassenen- und Invalidenversicherung (ELG; SR 831.30) war ursprünglich als Subventionsordnung ausgestaltet. Geregelt wurde mit anderen Worten bloss, unter welchen Bedingungen die Kosten der Kantone für die Unterstützung bedürftiger Bezüger einer Rente der ersten Säule vom Bund teilweise mitgetragen wurden (vgl. die Botschaft des Bundesrates zum ELG vom 21. September 1964, BBl 1964 II 689). Dementsprechend war es nicht Ziel des ELG, im konkreten Fall eine möglichst angemessene Unterstützung einzelner Versicherter zu gewährleisten. Vielmehr sollten minimale Voraussetzungen definiert werden, bei deren Erfüllung die Kantone bezüglich ihrer entsprechenden Ausgaben unterstützt würden. Daraus erhellt, weshalb insbesondere die anerkannten Ausgaben abschliessend definiert und deren Höhe mehrheitlich pauschal festgelegt wurde. Das Eidgenössische Versicherungsgericht (EVG; seit 1. Januar 2007 sozialrechtliche Abteilungen des Bundesgerichts) hat das ELG indessen bereits früh als abschliessende Ordnung für den Einzelfall interpretiert. Im Zuge der Totalrevision per 1. Januar 2008 wurde dann auch auf Gesetzesstufe der Wandel von der Subventionsordnung zur ab­schliessenden Ordnung für den Einzelfall (im Sinn eines Leistungsgesetzes) vollzogen: Während der frühere Art. 1 Abs. 1 ELG vorgesehen hatte, dass Kantone, die aufgrund eigener, den Anforderungen des ELG entsprechender Bestimmungen Ergänzungsleistungen gewährten, Beiträge erhielten (vgl. BBl 1964 II 711), hält Art. 2 Abs. 1 ELG neu fest, dass der Bund und die Kantone Personen, welche die entsprechenden Voraussetzungen erfüllen, Ergänzungsleistungen zur Deckung ihres Existenzbedarfs gewähren. Eine Anpassung insbesondere hinsichtlich der anerkannten Ausgaben und deren Höhe ist allerdings weitgehend nicht erfolgt, wofür wohl vor allem Spargründe ausschlaggebend gewesen sein dürften. So sieht etwa Art. 10 Abs. 1 lit. b Ziff. 2 ELG vor, dass als Mietzins einer Wohnung inklusive der damit zusammenhängenden Nebenkosten bei Ehepaaren höchstens ein jährlicher Betrag von Fr. 15’000.-- anerkannt wird. Dieser Höchstbetrag mag in eher ländlichen Gegenden nach wie vor angemessen sein; in städtischen Gebieten ist er dagegen in aller Regel zu tief (vgl. dazu auch Tuor Rudolf, Vermeidung von Altersarmut mit Ergänzungsleistungen, in: SZS 56/2012, S. 3 ff., S. 19 f.). Allerdings steht es weder den rechtsanwendenden Behörden noch den rechtsprechenden Gerichten frei, von der Ordnung gemäss ELG abzuweichen, denn es gelten im Verwaltungs- und Verwaltungsgerichtsverfahren einerseits das strikte Legalitätsprinzip und andererseits der Grundsatz, dass Bundesgesetze massgebend sind – selbst, wenn sie als verfassungswidrig zu qualifizieren wären. Mit anderen Worten musste sich die Beschwerdegegnerin und muss sich das angerufene Gericht an den vom ELG vorgegebenen Rahmen halten, selbst auf die Gefahr eines im Einzelfall praktisch wenig überzeugenden Ergebnisses hin.</w:t>
      </w:r>
    </w:p>
    <w:p>
      <w:r>
        <w:rPr>
          <w:b/>
        </w:rPr>
        <w:t>E. 2</w:t>
      </w:r>
    </w:p>
    <w:p>
      <w:r>
        <w:t>Als relevante jährliche Ausgaben anerkannt werden können vorliegend lediglich der pauschale Lebensbedarf gemäss Art. 10 Abs. 1 lit. a Ziff. 2 ELG bzw. Art. 1 lit. b der Verordnung 11 über Anpassungen bei den Ergänzungsleistungen zur AHV/IV (AS 2010 4585 f.) von Fr. 28’575.-- für den Beschwerdeführer und seine Ehefrau zusammen, der Eigenmietwert der Wohnung und die Nebenkosten gemäss Art. 10 Abs. 1 lit. b Ziff. 2 ELG von zusammen höchstens Fr. 15’000.--, die Krankenkassenprämienpauschale (nicht die effektiven Krankenkassenprämien) gemäss Art. 10 Abs. 3 lit. d ELG bzw. Art. 2 lit. a der Verordnung über die Durchschnittsprämien 2011 der Krankenpflegever­sicherung (AS 2010 5833 ff.) von je Fr. 4’272.-- sowie die Hypothekarzinsen von Fr. 10’037.-- (Art. 10 Abs. 3 lit. b ELG) und der (pauschalisierte) Gebäudeunterhalt gemäss Art. 10 Abs. 3 lit. b ELG, Art. 16 Abs. 1 der Verordnung über die Ergänzungsleistungen zur Alters-, Hinterlassenen- und Invalidenversicherung (ELV; SR 831.301), Art. 44 Abs. 4 des St. Galler Steuergesetzes (StG; sGS 811.1) und Art. 29 Abs. 1 der St. Galler Steuerverordnung (StV; sGS 811.11) von Fr. 3’922.-- (= 20 % × Fr. 19’608.--; vgl. EL-act. 25–1 f.). Die Berücksichtigung der anerkannten Ausgaben durch die Be­schwerdegegnerin (EL-act. 18 f.) ist angesichts dessen nicht zu beanstanden.</w:t>
      </w:r>
    </w:p>
    <w:p>
      <w:r>
        <w:rPr>
          <w:b/>
        </w:rPr>
        <w:t>E. 3</w:t>
      </w:r>
    </w:p>
    <w:p>
      <w:r>
        <w:t>Als Einkommen sind grundsätzlich sämtliche Beträge anzurechnen, die dem Beschwerdeführer und seiner Ehefrau in irgendeiner Form zufliessen. Dazu zählen insbesondere die AHV-Renten von gesamthaft Fr. 37’020.-- (Art. 11 Abs. 1 lit. d ELG), die Renten der Deutschen Rentenversicherung von gesamthaft Fr. 10’448.-- (bis 30. Juni 2010) bzw. Fr. 10’552.-- (ab 1. Juli 2010; Art. 11 Abs. 1 lit. d ELG) und die Zinserträge von Fr. 38.-- (Art. 11 Abs. 1 lit. b ELG). Anzurechnen sind allerdings auch die Eigenmietwerte der Wohnung und des Garagenplatzes als Einkünfte, die erzielt werden könnten, wenn die entsprechenden Grundstücke vermietet würden (Art. 11 Abs. 1 lit. b ELG). Im Gegensatz zum Steuerrecht wird im Ergänzungsleistungsrecht allerdings kein Abzug gewährt, wenn die Wohnung oder das Haus selbst bewohnt wird (vgl. das zur Publikation vorgesehene Urteil des Bundesgerichts 9C_495/2011 vom 23. Dezember 2011). Aus diesem Grund ist nicht zu beanstanden, dass die Beschwerdegegnerin Liegenschaftserträge von gesamthaft Fr. 19’608.-- angerechnet hat.</w:t>
      </w:r>
    </w:p>
    <w:p>
      <w:r>
        <w:rPr>
          <w:b/>
        </w:rPr>
        <w:t>E. 4</w:t>
      </w:r>
    </w:p>
    <w:p>
      <w:r>
        <w:t>Demnach hat der Beschwerdeführer von Gesetzes wegen keinen Anspruch auf eine jährliche Ergänzungsleistung. Ein Spielraum, der ausgenutzt werden und zu einem anderen Ergebnis führen könnte, besteht nicht. Allerdings ist der Beschwerdeführer darauf hinzuweisen, dass gemäss Art. 14 Abs. 6 ELG Personen, die aufgrund eines Einnahmenüberschusses keinen Anspruch auf eine jährliche Ergänzungsleistung haben, Anspruch auf Vergütung der Krankheits- und Behinderungskosten haben, die den Einnahmenüberschuss übersteigen. Solche Krankheits- und Behinderungskosten sind Kosten für zahnärztliche Behandlung, Hilfe, Pflege und Betreuung zuhause und in Tagesstrukturen, ärztlich angeordnete Bade- und Erholungskuren, eine Diät, Transporte zur nächstgelegenen Behandlungsstelle, Hilfsmittel und die Kostenbeteiligung (Franchise und Selbstbehalt) der obligatorischen Krankenpflegeversicherung (Art. 14 Abs. 1 ELG). Diese Kosten werden vergütet, wenn die Vergütung innerhalb von fünfzehn Monaten nach Rechnungsstellung geltend gemacht wird (Art. 15 ELG). Der Beschwerdeführer müsste sich für die Vergütung solcher Krankheits- und Be­hinderungskosten bei der Beschwerdegegnerin anmelden.</w:t>
      </w:r>
    </w:p>
    <w:p>
      <w:r>
        <w:rPr>
          <w:b/>
        </w:rPr>
        <w:t>E. 5</w:t>
      </w:r>
    </w:p>
    <w:p>
      <w:r>
        <w:t>Nach dem Ausgeführten ist die Beschwerde abzuweisen. Gerichtskosten sind gemäss Art. 61 lit. a des Bundesgesetzes über den Allgemeinen Teil des Sozialversicherungsrechts (ATSG; SR 830.1) keine zu erheben.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